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2004 26 vom 28. September 2004</w:t>
      </w:r>
    </w:p>
    <w:p>
      <w:r>
        <w:t>GR Gerichte, 2004-09-28, DE</w:t>
      </w:r>
    </w:p>
    <w:p>
      <w:r>
        <w:rPr>
          <w:b/>
        </w:rPr>
        <w:t xml:space="preserve">Quelle: </w:t>
      </w:r>
      <w:r>
        <w:t>https://mcp.opencaselaw.ch/entscheid/gr_gerichte_SF 2004 26</w:t>
      </w:r>
    </w:p>
    <w:p>
      <w:r>
        <w:t>FR: GR_GERICHTE SF 2004 26 du 28 septembre 2004</w:t>
      </w:r>
    </w:p>
    <w:p>
      <w:r>
        <w:t>IT: GR_GERICHTE SF 2004 26 del 28 settembre 2004</w:t>
      </w:r>
    </w:p>
    <w:p>
      <w:pPr>
        <w:pStyle w:val="Heading2"/>
      </w:pPr>
      <w:r>
        <w:t>Regeste</w:t>
      </w:r>
    </w:p>
    <w:p>
      <w:r>
        <w:t>Widerhandlung gegen das Betäubungsmittelgesetz | Betäubungsmittelgesetz</w:t>
      </w:r>
    </w:p>
    <w:p>
      <w:pPr>
        <w:pStyle w:val="Heading2"/>
      </w:pPr>
      <w:r>
        <w:t>Erwägungen</w:t>
      </w:r>
    </w:p>
    <w:p>
      <w:r>
        <w:rPr>
          <w:b/>
        </w:rPr>
        <w:t>E. 8</w:t>
      </w:r>
    </w:p>
    <w:p>
      <w:r>
        <w:t>Abs. 1 BetmG abhängigkeitserzeugende Stoffe und Präparate der Wirkungstypen Morphin, Kokain und Cannabis. Gemäss Art. 19 Ziff. 1 BetmG macht sich unter an- derem strafbar, wer Betäubungsmittel unbefugt lagert (Abs. 3), wer sie unbefugt anbietet, verteilt, verkauft, vermittelt, verschafft, verordnet, in Verkehr bringt oder abgibt (Abs. 4) sowie wer sie unbefugt besitzt, aufbewahrt, kauft oder sonstwie er- langt (Abs. 5). Das Strafmass beträgt, wenn die Tat vorsätzlich begangen wurde, Gefängnis oder Busse. In schweren Fällen ist die Strafe Zuchthaus oder Gefängnis nicht unter einem Jahr, allenfalls verbunden mit einer Busse bis zu einer Million Franken (Art. 19 Ziff. 1 Abs. 9 BetmG). Soweit Handlungen der genannten Art dem Eigenkonsum dienen, erfahren sie gemäss Art. 19a Ziff. 1 BetmG eine privilegierte Behandlung; als Strafe drohen in diesem Fall, wie für den unbefugten Konsum von Betäubungsmitteln selbst, Haft oder Busse. b. Ein schwerer Fall gemäss Art. 19 Ziff. 2 lit. a BetmG liegt insbesondere vor, wenn der Täter weiss oder annehmen muss, dass sich die Widerhandlung auf eine Menge von Betäubungsmitteln bezieht, welche die Gesundheit vieler Men- schen in Gefahr bringen kann. Viele Menschen im Sinne dieser Bestimmung sind nach der Rechtsprechung des Bundesgerichts zwanzig Personen oder mehr, während eine Gesundheitsgefährdung bei physischer oder psychischer Abhängig- keit zu bejahen ist (BGE 121 IV 334, 106 IV 230). Massgebend ist dabei allein, wie viele Konsumenten gefährdet werden könnten und nicht, wie viele tatsächlich ge- fährdet worden sind, handelt es sich bei Art. 19 Ziff. 2 lit. a BetmG doch um ein abstraktes Gefährdungsdelikt. Es spielt keine Rolle, ob neue Abnehmerkreise durch die Tathandlung erschlossen werden oder ob die Abnehmer bereits süchtig sind (BGE 120 IV 338, 118 IV 205 f., 111 IV 31 f.). Nach Anhörung von Sachverständigen geht das Bundesgericht davon aus, dass die Einnahme von zehn Milligramm Kokain während 90 Tagen beziehungsweise von zehn Milligramm Heroin während 60 Ta- gen zu einer psychischen Abhängigkeit führt. Eine Gefährdung der Gesundheit vie- ler Menschen (20 Personen) ist somit bei einer Rauschgiftmenge von 18 Gramm Kokain beziehungsweise 12 Gramm Heroin anzunehmen, wobei es sich dabei nach bundesgerichtlicher Praxis um die entsprechende Menge reinen Drogenstoffs han- deln muss (vgl. BGE 109 IV 143 ff.). Keine Rolle spielt, ob der Täter die Betäubungs- mittel in einer einzigen grossen Portion oder in vielen kleinen Teilmengen in Verkehr bringt (BGE 114 IV 167). In subjektiver Hinsicht verlangt Art. 19 Ziff. 2 lit. a BetmG, dass der Täter weiss oder annehmen muss, dass er mit seinem Tun die Gesundheit vieler Men- schen gefährden kann. Dieses Wissen um das Gefährdungspotential einer solchen</w:t>
      </w:r>
    </w:p>
    <w:p>
      <w:r>
        <w:rPr>
          <w:b/>
        </w:rPr>
        <w:t>E. 9</w:t>
      </w:r>
    </w:p>
    <w:p>
      <w:r>
        <w:t>Menge von Drogen dürfte im Rahmen zentraleuropäischer Verhältnisse im Hinblick auf die umfassende Aufklärung der Bevölkerung über den Drogenmissbrauch in der Regel bereits bei Ersttätern gegeben sein, die selbst noch keine Erfahrungen mit Drogen gemacht haben (vgl. BGE 104 IV 215). In Bezug auf die grosse Menge genügt Eventualvorsatz; ein vorgefasster Entschluss, eine solche Menge umzuset- zen, ist demnach nicht erforderlich. Entscheidend ist folglich, ob der Täter durch sein Verhalten in Kauf nahm, mit der von ihm gehandelten Menge eine grosse Zahl von Menschen in Gefahr zu bringen (BGE 112 IV 113). 2.a. X. ist überführt und geständig, in der Zeit von Sommer 2002 bis zum 28. August 2003 allein sowie teilweise zusammen mit K. total 2'665 Gramm Heroin und 505 Gramm Kokain erworben zu haben. Hiervon konsumierte er einen Teil sel- ber. Den Rest veräusserte er allein sowie teilweise zusammen mit K. an verschie- dene Personen. Es handelt sich hierbei um mindestens 1'310 Gramm Heroin für Fr. 327'000.-- und 185 Gramm Kokain für ca. Fr. 27'750.-- (act. 4.1, 6.11). Indem der Angeklagte insgesamt 2'665 Gramm Heroin und 505 Gramm Ko- kain erwarb und davon mindestens 1'310 Gramm Heroin und 185 Gramm Kokain an Dritte verkaufte, erfüllt er den objektiven Tatbestand von Art. 19 Ziff. 1 Abs. 3-5 BetmG klar. b. Hat X. den objektiven Tatbestand von Art. 19 Ziff. 1 BetmG erfüllt, ist entsprechend der Anklageschrift zu prüfen, ob ein schwerer Fall im Sinne von Art. 19 Ziff. 2 lit. a BetmG vorliegt. aa. Zunächst ist abzuklären, von welcher Qualität das von X. verkaufte Kokain war. Der Angeklagte hat die Drogen vor dem Weiterverkauf nicht gestreckt. Die Angaben bezüglich Qualität der Drogen reichen von schlecht bis gut. Im Ver- fahren gegen die Lieferanten des Angeklagten, L., M. und S., stellte die Polizei He- roin bzw. Kokain sicher. Deren Analysen durch das Institut für Rechtsmedizin des Kantonsspitals St. Gallen ergaben, dass das Heroin einen Reinheitsgehalt von 12.4 % (act. 4.6 betr. L.; hier besteht eine Abweichung zur Anklageschrift, die von einem Reinheitsgehalt von 12 % ausgeht) beziehungsweise mindestens 16.7 % (act. 4.5 betr. M.; hier besteht ebenfalls eine Abweichung zur Anklageschrift, die von einem Reinheitsgehalt von 16.9 % ausgeht) und das Kokain einen solchen von 6.9 % bis 11.5 % (act. 4.4 betr. S.) aufwiesen. Selbst wenn man bezüglich der von X. verkauf- ten 1'310 Gramm Heroin und 185 Gramm Kokain vom kleinsten Reinheitsgehalt von 12.4 % beziehungsweise 6.9 % ausgeht, hat er somit total mindestens 162.4</w:t>
      </w:r>
    </w:p>
    <w:p>
      <w:r>
        <w:rPr>
          <w:b/>
        </w:rPr>
        <w:t>E. 10</w:t>
      </w:r>
    </w:p>
    <w:p>
      <w:r>
        <w:t>Gramm reines Heroin sowie 12.7 Gramm reines Kokain an Drittpersonen abgege- ben. Wie bereits erwähnt, legt das Bundesgericht die Grenze des schweren Falles bei 18 Gramm reinen Kokains beziehungsweise 12 Gramm reinen Heroins fest (BGE 120 IV 338 f., 109 IV 143 ff.). Bei den durch X. in Umlauf gebrachten Betäu- bungsmitteln von mindestens 162.4 Gramm reinem Heroin und 12.7 Gramm reinem Kokain handelt es sich daher um eine Drogenmenge, welche die vom Bundesge- richt festgesetzten Grenzwerte um ein Vielfaches überschreitet. Dementsprechend erfüllt X. mit dem ihm zur Last gelegten Verhalten den objektiven Tatbestand des schweren Falles gemäss Art. 19 Ziff. 2 lit. a BetmG. bb. Auch in subjektiver Hinsicht bestehen keine Zweifel, dass der Ange- klagte mit Wissen und Willen handelte und wusste, zumindest aber in Kauf nahm, mit seinem Tun die Gesundheit vieler Menschen zu gefährden. Er hat daher den Tatbestand von Art. 19 Ziff. 2 lit. a BetmG auch in subjektiver Hinsicht erfüllt. 3. Nach Art. 19a Ziff. 1 BetmG wird mit Haft oder mit Busse bestraft, wer unbefugt Betäubungsmittel vorsätzlich konsumiert oder wer zum eigenen Konsum eine Widerhandlung im Sinne von Artikel 19 BetmG begeht. Der privilegierte Tatbe- stand von Art. 19a BetmG erfasst nur jene Beschaffungshandlungen, die aussch- liesslich dem eigenen Drogenkonsum dienen und somit eine Gefährdung Dritter ausschliessen. Nicht privilegiert sind Beschaffungshandlungen, die zum Drogen- konsum Dritter führen oder konkret führen können, wie insbesondere Verkauf, Ver- mittlung oder entsprechendes Lagern (BGE 118 IV 202 f.). b. Der Angeklagte X. hat in den polizeilichen und untersuchungsrichterli- chen Einvernahmen (vgl. act. 6.6, 6.7, 6.11) sowie anlässlich der Hauptverhandlung gestanden, in der Zeit von Sommer 2002 bis zum 28. August 2003 praktisch täglich Heroin und ab Januar 2003 bis August 2003 zusätzlich auch Kokain konsumiert zu haben. Die total konsumierte Menge konnte nicht eruiert werden. Es waren aber mehrere hundert Gramm Heroin und Kokain. X. konsumierte die Drogen durch Snif- fen. Weiter rauchte er im Zeitraum Dezember 1999 bis Juni 2003 regelmässig Ma- rihuana und Haschisch. Es steht damit fest, dass X. mehrfach gegen Art. 19a Ziff. 1 BetmG verstossen hat. 4.a. Gemäss Art. 63 StGB bemisst das Gericht die Strafe nach dem Ver- schulden des Täters. Es berücksichtigt dabei die Beweggründe, das Vorleben und die persönlichen Verhältnisse des Schuldigen. Grundlage für die Bemessung der</w:t>
      </w:r>
    </w:p>
    <w:p>
      <w:r>
        <w:rPr>
          <w:b/>
        </w:rPr>
        <w:t>E. 11</w:t>
      </w:r>
    </w:p>
    <w:p>
      <w:r>
        <w:t>Schuld ist immer die Schwere der Tat. Bei der Beurteilung der Tatkomponente wer- den insbesondere das Ausmass des verschuldeten Erfolges, die Art und Weise sei- ner Herbeiführung, die Willensrichtung, mit welcher der Täter gehandelt hat und die Beweggründe des Schuldigen berücksichtigt. Die Täterkomponente umfasst das Vorleben, die persönlichen Verhältnisse sowie das Verhalten nach der Tat oder im Strafverfahren, wie zum Beispiel Reue, Einsicht oder Strafempfindlichkeit. Das Mass des Verschuldens variiert unter anderem mit der Schwere des deliktischen Erfolges, den unterschiedlich gravierenden Modalitäten der Tatbegehung und dem Mass an Entscheidungsfreiheit, das dem Täter zugeschrieben werden muss. Je leichter es für ihn gewesen wäre, die Rechtsgutverletzung zu vermeiden, je grösser also sein Handlungsspielraum war, desto grösser wiegt das Verschulden. Diese in die Waagschale gelegten Elemente wirken strafmindernd oder straferhöhend, wo- bei in der Begründung der Strafzumessung die Überlegungen des Gerichts nach- vollziehbar sein müssen (vgl. BGE 117 IV 113 f., 118 IV 14 f., 124 IV 44 ff., 129 IV 20 f.). Wenn jemand durch eine oder mehrere Handlungen mehrere Freiheitsstra- fen verwirkt hat, so verurteilt ihn das Gericht nach dem Asperationsprinzip zu der Strafe der schwersten Tat und erhöht deren Dauer angemessen. Es kann jedoch das höchste Mass der angedrohten Strafe nicht um mehr als die Hälfte überschrei- ten und ist dabei zudem an das gesetzliche Höchstmass der Strafart gebunden (Art. 68 Ziff. 1 StGB). Schwerste Tat ist diejenige, welche unter den mit der höchsten Strafe bedrohten Tatbestand fällt. Grundlage für die Strafzumessung ist daher im vorliegenden Fall der in Art. 19 Ziff. 1 in Verbindung mit Art. 19 Ziff. 2 lit. a BetmG vorgesehene Strafrahmen von einem Jahr Gefängnis oder Zuchthaus bis zu 20 Jah- ren, womit eine Busse bis zu einer Million Franken verbunden werden kann. Der Gesetzgeber hat damit zu erkennen gegeben, dass die Widerhandlung gegen Art. 19 Ziff. 2 lit. a Betäubungsmittelgesetz als ernst zu nehmendes Delikt zu qualifizie- ren ist. Die objektive Schwere des Delikts im konkreten Einzelfall zeigt sich aber insbesondere anhand des Ausmasses und der Art der Ausführung desselben. Diese erlauben dem Gericht eine Verfeinerung der Wertung, die der Gesetzgeber vorge- zeichnet hat. Die Menge der umgesetzten Drogen ist zwar für die Strafzumessung nicht von ausschlaggebender Bedeutung, sie bildet indessen einen ersten massge- blichen Anhaltspunkt für den kriminellen Willen des Täters (BGE 121 IV 193 = Pra 1996 Nr. 28; BGE 118 IV 348). Auch der Gesetzgeber hat bei der Umschreibung des schweren Falles dem quantitativen Aspekt erhebliches Gewicht beigemessen; denn wer eine grosse Menge Rauschgift in Umlauf setzt und damit Leben und Ge-</w:t>
      </w:r>
    </w:p>
    <w:p>
      <w:r>
        <w:rPr>
          <w:b/>
        </w:rPr>
        <w:t>E. 12</w:t>
      </w:r>
    </w:p>
    <w:p>
      <w:r>
        <w:t>sundheit vieler Menschen gefährdet, nimmt eine besonders menschenverachtende Haltung ein, die grundsätzlich ein hohes Verschulden offenbart. b. Das Verschulden von X. ist angesichts der von ihm in Umlauf gesetz- ten Drogenmenge als schwer zu bezeichnen, hat er doch im Zeitraum von rund einem Jahr mindestens 162.4 Gramm reines Heroin und 12.7 Gramm reines Kokain verkauft. Dadurch hat er den für die Annahme eines schweren Falles massgebli- chen Grenzwert von 12 Gramm reinen Heroins beziehungsweise 18 Gramm reinen Kokains um ein Vielfaches überschritten und dabei einen nicht unbedeutenden Um- satz sowie Gewinn erzielt. Dieser Umstand fällt straferhöhend ins Gewicht, zumal der Angeklagte aus eigener Erfahrung wissen musste, welche Gefahren der Kon- sum von Betäubungsmitteln mit sich bringt. X. hat eine erhebliche kriminelle Energie an den Tag gelegt, die durch die Tatsache, dass jener nicht noch weitere Delikte wie beispielsweise Diebstähle begangen hat, keinesfalls geringer erscheint, wie dies vom Verteidiger geltend gemacht wird. Straferhöhend wirken sich auch die Vor- strafen des Angeklagten aus, insbesondere die im Jahr 1986 durch das Kantonsge- richt wegen Widerhandlungen gegen das Betäubungsmittelgesetz erfolgte Verurtei- lung zu vier Jahren Zuchthaus. Offensichtlich vermochten das strafrechtliche Ver- fahren und die anschliessende Verbüssung der Freiheitsstrafe die nötige Warnwir- kung nicht entfalten. Selbst wenn die damals abgeurteilten Delikte schon längere Zeit zurückliegen, können diese bei der Strafzumessung nicht einfach ausser Acht gelassen werden, wenn sie sich auch nicht erheblich straferhöhend auswirken. X. ist immerhin zugute zu halten, dass er nicht aus reiner Gewinnsucht, sondern auf- grund seiner Abhängigkeit, zur Befriedigung seiner eigenen Sucht handelte. Straf- schärfend fallen das Zusammentreffen mehrerer strafbarer Handlungen und die teil- weise mehrfache Tatbegehung ins Gewicht. Das Geständnis ist grundsätzlich straf- mindernd zu werten, wird aber dadurch relativiert, dass der Angeklagte erst auf- grund der Aussagen seines Mittäters K. festgenommen und von Anfang an mit den Aussagen des letzteren konfrontiert wurde. Strafmildernd fällt die psychiatrisch fest- gestellte Verminderung der Zurechnungsfähigkeit ins Gewicht. Was die Strafemp- findlichkeit betrifft, so ist diese zweifellos als hoch anzusehen, insbesondere auf- grund der vom Angeklagten geäusserten Bemühungen, nun endgültig von den Dro- gen wegzukommen; dieses Ziel scheint für ihn derzeit in greifbarer Nähe zu sein, insbesondere durch das Führen eines eigenen Restaurants sowie die gefestigte Be- ziehung zu seiner Partnerin. Unter Berücksichtigung sämtlicher Strafzumessungsgründe erachtet das Kantonsgericht eine Strafe von 30 Monaten Gefängnis als dem Verschulden und</w:t>
      </w:r>
    </w:p>
    <w:p>
      <w:r>
        <w:rPr>
          <w:b/>
        </w:rPr>
        <w:t>E. 13</w:t>
      </w:r>
    </w:p>
    <w:p>
      <w:r>
        <w:t>der Verhaltensweise des Angeklagten als angemessen und gerechtfertigt. Das er- hebliche Tatverschulden des Angeklagten lässt eine Freiheitsstrafe im Bereich von</w:t>
      </w:r>
    </w:p>
    <w:p>
      <w:r>
        <w:rPr>
          <w:b/>
        </w:rPr>
        <w:t>E. 18</w:t>
      </w:r>
    </w:p>
    <w:p>
      <w:r>
        <w:t>Monaten und einen damit allenfalls verbundenen bedingten Strafvollzug trotz der hohen Strafempfindlichkeit als nicht vertretbar erscheinen. Das ausgesprochene Strafmass ist auch im Vergleich zu K. gerechtfertigte. Jener betätigte sich mit dem Angeklagten zusammen im Drogenhandel und wurde mit Urteil des Kantonsgerichts von Graubünden vom 8. Juni 2004 (SF 04 14) zu einer Freiheitsstrafe von 30 Mo- naten Gefängnis verurteilt. K. setzte zwar - ebenfalls bei leicht verminderter Zurech- nungsfähigkeit - etwas höhere Drogenmengen um als X., war aber letztlich derje- nige, der die ganze Sache aufdeckte und sich freiwillig stellte. c. Nach Art. 69 StGB rechnet das Gericht dem Verurteilten die Untersu- chungshaft auf die Freiheitsstrafe an, soweit der Täter diese nicht durch sein Ver- halten nach der Tat herbeigeführt oder verlängert hat. Ein solches Verhalten kann X. nicht zur Last gelegt werden, so dass einer Anrechnung der erstandenen Polizei- und Untersuchungshaft an die Strafe gestützt auf Art. 69 StGB nichts entgegen- steht. d. Die Gewährung des bedingten Strafvollzugs gemäss Art. 41 Ziff. 1 StGB fällt bei diesem Strafmass bereits aus objektiven Gründen ausser Betracht und ist demnach nicht näher zu prüfen. 5.a. Ist ein Täter rauschgiftsüchtig und steht die von ihm begangene Tat damit im Zusammenhang, so kann das Gericht gemäss Art. 44 Ziff. 1 Abs. 1 StGB in Verbindung mit Art. 44 Ziff. 6 Abs. 1 StGB anstelle oder neben der Strafe Mass- nahmen anordnen, um die Gefahr künftiger Verbrechen oder Vergehen zu verhüten. Soweit erforderlich holt das Gericht ein Gutachten über den körperlichen und geis- tigen Zustand des Täters sowie über die Zweckmässigkeit der Behandlung ein (Art. 44 Ziff. 1 Abs. 2 StGB). b. Im vorliegenden Fall steht das strafbare Verhalten von X. in engem Zusammenhang mit dem Konsum von Betäubungsmitteln und der daraus entstan- denen Abhängigkeit. Es stellt sich somit zwingend die Frage, ob anstelle oder neben der Strafe eine Massnahme anzuordnen ist. Im Gutachten der Psychiatrischen Dienste Graubünden vom 16. April 2004 wurde betreffend X. die Diagnose eines Abhängigkeitssyndroms von multiplen Sub- stanzen gestellt und aufgrund dieser Rauschgiftsucht eine erhöhte Rückfallgefahr konstatiert. Eine stationäre Massnahme im Sinne von Art. 44 StGB beziehungs-</w:t>
      </w:r>
    </w:p>
    <w:p>
      <w:r>
        <w:t>14 weise die Einweisung in eine Drogenheilanstalt wurde aus diesen Gründen als zweckmässig erachtet. Der amtliche Verteidiger stellte anlässlich der Hauptver- handlung die vom Gutachter diagnostizierte Betäubungsmittelabhängigkeit von X. in Frage. Jener habe seit mehreren Monaten nachweislich weder Heroin noch Ko- kain konsumiert und befinde sich überdies in einem Methadonprogramm. Das Ge- richt erachtet diesen Umstand als Zeichen, dass der Angeklagte auf dem richtigen Weg ist. Dass keine eigentliche Abhängigkeit von Betäubungsmitteln mehr besteht, wird durch das eingereichte ärztliche Zeugnis indes nicht belegt. Zwar wurde der Angeklagte seit Mai 2004 negativ auf Opiate, Kokain und Bezodiazepine getestet. Er beteiligt sich aber immer noch an einem Methadonprogramm, welches die kör- perlichen Entzugsfolgen - nicht aber diejenigen psychischer Art - lindert. Erfahrungs- gemäss benötigt es einen längeren Zeitraum als einige wenige Monate bis von ei- nem Wegfall der Drogenabhängigkeit gesprochen werden kann. Für das Gericht besteht daher grundsätzlich kein Anlass, an den vom Gutachter gewonnenen Schlüssen zu zweifeln. Es ist allerdings festzuhalten, dass die erfolgreiche Durch- führung einer Massnahme nicht nur von der Massnahmebedürftigkeit, sondern zu einem grossen Teil auch davon abhängt, ob der Betroffene für eine Behandlung motiviert und zu einer Zusammenarbeit mit den Therapeuten bereit, das heisst massnahmewillig, ist. Dem psychiatrischen Gutachten sowie den Aussagen des An- geklagten anlässlich der Hauptverhandlung ist deutlich zu entnehmen, dass die Massnahmewilligkeit bei X. nicht gegeben ist. Aus diesem Grund verzichtet das Ge- richt auf die Anordnung sowohl einer stationären wie auch einer ambulanten Mass- nahme. Falls sich X. nachträglich als behandlungsbedürftig, behandlungsfähig und behandlungswillig erweisen sollte, kann ihn das Gericht auf sein Gesuch hin ge- stützt auf Art. 44 Ziff. 6 Abs. 2 StGB unter gegebenen Voraussetzungen auch nachträglich in eine Anstalt für Rauschgiftsüchtige einweisen und den Vollzug der noch nicht verbüssten Strafe aufschieben. Ferner steht es X. im Rahmen des Straf- vollzuges jederzeit frei, aus eigener Initiative eine ambulante psychiatrische Be- handlung anzutreten. 6.a. Nach Art. 58 Abs. 1 StGB verfügt das Gericht ohne Rücksicht auf die Strafbarkeit einer bestimmten Person die Einziehung von Gegenständen, die zur Begehung einer strafbaren Handlung gedient haben oder bestimmt waren, oder die durch eine strafbare Handlung hervorgebracht worden sind, wenn diese Ge- genstände die Sicherheit von Menschen, die Sittlichkeit oder die öffentliche Ord- nung gefährden. Gemäss Abs. 2 der genannten Bestimmung kann das Gericht an- ordnen, dass die eingezogenen Gegenstände unbrauchbar gemacht oder vernichtet werden.</w:t>
      </w:r>
    </w:p>
    <w:p>
      <w:r>
        <w:t>15 Anlässlich der am 27. August 2003 erfolgten Hausdurchsuchung wurden 1.6 Gramm Marihuana, 1.3 Gramm Haschisch sowie 14 leere Minigripsäcklein sicher- gestellt. Mit Verfügung des Untersuchungsrichters vom 10. Mai 2004 wurden diese Gegenstände beschlagnahmt. Bereits der unbefugte Besitz sowie das Lagern von Betäubungsmitteln sind strafbar. Es ist daher offensichtlich und von X. auch aner- kannt, dass die beschlagnahmten Betäubungsmittel sowie die Minigripsäcklein zur Begehung einer strafbaren Handlung, nämlich dem Handel mit Betäubungsmitteln sowie deren Konsum, bestimmt waren. Auch die damit verbundene Gefährdung der öffentlichen Ordnung liegt auf der Hand. Die Betäubungsmittel und die Minigripsäck- lein werden daher gestützt auf Art. 58 Abs. 1 StGB gerichtlich eingezogen; sie sind gestützt auf Art. 58 Abs. 2 StGB zu vernichten. b. Nach Art. 59 Ziff. 1 StGB verfügt das Gericht die Einziehung von Ver- mögenswerten, die durch eine strafbare Handlung erlangt worden sind oder dazu bestimmt waren, eine strafbare Handlung zu veranlassen oder zu belohnen, sofern sie nicht dem Verletzten zur Wiederherstellung des rechtmässigen Zustandes aus- gehändigt werden. Sind die unrechtmässig erlangten Vermögensvorteile nicht mehr vorhanden, erkennt das Gericht gemäss Art. 59 Ziff. 2 StGB auf eine Ersatzforde- rung. Es kann jedoch von einer Ersatzforderung ganz oder teilweise absehen, wenn diese voraussichtlich uneinbringlich wäre oder die Wiedereingliederung des Betrof- fenen ernstlich behindern würde. Die bundesgerichtliche Rechtsprechung postuliert in diesem Zusammenhang eine dem Entscheid vorausgehende umfassende Beur- teilung der finanziellen Lage des Betroffenen (BGE 122 IV 302). X. erzielte mit dem Verkauf von Betäubungsmitteln einen bedeutenden Ge- winn. In der Hauptsache wurde dieser zur Finanzierung der eigenen Sucht verwen- det. Jedenfalls ist ein entsprechender Erlös nicht mehr beziehungsweise nur noch in geringem Umfang vorhanden. Aufgrund der vorliegend festgestellten beschei- denen finanziellen Verhältnisse von X., der Pflicht zur Tragung erheblicher Verfah- renskosten (vgl. nachstehend Ziffer 7) sowie angesichts der Tatsache, dass der Ver- urteilte in nächster Zeit nicht über ein erhebliches Einkommen verfügen wird, sieht das Gericht von der zusätzlichen Erhebung einer Ersatzabgabe gestützt auf Art. 59 Ziffer 2 Abs. 2 StGB ab. 7.a. Bei diesem Ausgang des Verfahrens gehen die Kosten der Strafunter- suchung, die Gerichtsgebühr sowie das Honorar der amtlichen Verteidigung zu Las- ten des Verurteilten (Art. 158 Abs. 1 StPO). Die Kosten der angerechneten Polizei-</w:t>
      </w:r>
    </w:p>
    <w:p>
      <w:r>
        <w:t>16 und Untersuchungshaft sowie jene des Strafvollzuges trägt der Kanton Graubünden (Art. 158 Abs. 3 StPO in Verbindung mit Art. 188 StPO). b. Der amtliche Verteidiger von X., Rechtsanwalt lic. iur. Dieter Marty, reichte anlässlich der Hauptverhandlung vom 28. September 2004 eine Honorar- note über insgesamt Fr. 7'145.70 ein. Nach bündnerischer Regelung ist ein Honorar unter Berücksichtigung der or- dentlichen Honoraransätze dann tarifgemäss, wenn der behauptete und in Rech- nung gestellte Aufwand in einem einigermassen vertretbaren Verhältnis steht zur Schwierigkeit und Bedeutung der Sache, zur damit verbundenen Verantwortung des Anwalts und zu den persönlichen Verhältnissen des Auftraggebers (vgl. hierzu Art. 2 der Honoraransätze des Bündnerischen Anwaltsverbandes). Geht man von einem Stundenansatz von Fr. 150.-- beziehungsweise ab dem 17. November 2003 von Fr. 165.-- aus, entsprechen die Fr. 6'401.25, welche der amtliche Verteidiger für verrechenbare Leistungen in Rechnung gestellt hat, einem Gesamtaufwand von 39.25 Stunden. Dieser geltend gemachte Aufwand erscheint dem Kantonsgericht von Graubünden ungewöhnlich hoch. Der amtliche Verteidiger war mit einem Man- dat betraut, das weder in Bezug auf den Sachverhalt - der Verurteilte hatte praktisch von Anfang an ein vollumfängliches Geständnis abgelegt - noch in Bezug auf die zu lösenden Rechtsfragen aussergewöhnliche Schwierigkeiten bot. Die anwendbaren Gesetzesartikel und die bundesgerichtliche Rechtsprechung im Bereich des Betäu- bungsmittelgesetzes sind hinreichend klar, konstant und ohne grösseren Aufwand zu eruieren. Sodann ist nicht ersichtlich, dass es für eine sachgerechte anwaltliche Vertretung des vorliegenden Falls derart vieler Instruktionen bedurfte, wie sie der Verteidiger in Rechnung stellte. Insgesamt gesehen erscheint unter diesen Umstän- den die Honorarnote des amtlichen Verteidigers als massiv übersetzt, weshalb sie hinsichtlich der verrechenbaren Leistungen auf zwei Drittel und damit auf ein ver- tretbares Mass herabzusetzen ist. Damit belaufen sich die Kosten der amtlichen Verteidigung auf insgesamt Fr. 4'849.80 (Fr. 4'267.50 für die Entschädigung nach Zeitaufwand, Fr. 239.75 für Barauslagen sowie Fr. 342.55 für die Mehrwertsteuer [7.6 % von Fr. 4'507.25]).</w:t>
      </w:r>
    </w:p>
    <w:p>
      <w:r>
        <w:t>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